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59CC" w14:textId="4B2FCA07" w:rsidR="00743777" w:rsidRDefault="00CC504A" w:rsidP="001B640B">
      <w:pPr>
        <w:spacing w:after="0" w:line="240" w:lineRule="auto"/>
        <w:jc w:val="center"/>
        <w:rPr>
          <w:b/>
          <w:color w:val="002060"/>
          <w:sz w:val="36"/>
          <w:szCs w:val="36"/>
        </w:rPr>
      </w:pPr>
      <w:r>
        <w:rPr>
          <w:noProof/>
          <w:lang w:eastAsia="fr-FR"/>
        </w:rPr>
        <w:drawing>
          <wp:anchor distT="0" distB="0" distL="114935" distR="114935" simplePos="0" relativeHeight="251659264" behindDoc="0" locked="0" layoutInCell="1" allowOverlap="1" wp14:anchorId="7469EFE0" wp14:editId="60B33505">
            <wp:simplePos x="0" y="0"/>
            <wp:positionH relativeFrom="column">
              <wp:posOffset>-90170</wp:posOffset>
            </wp:positionH>
            <wp:positionV relativeFrom="paragraph">
              <wp:posOffset>-591185</wp:posOffset>
            </wp:positionV>
            <wp:extent cx="695325" cy="1171592"/>
            <wp:effectExtent l="0" t="0" r="0" b="9525"/>
            <wp:wrapNone/>
            <wp:docPr id="2" name="Image 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Graphique, logo&#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l="-159" t="-92" r="-159" b="-92"/>
                    <a:stretch>
                      <a:fillRect/>
                    </a:stretch>
                  </pic:blipFill>
                  <pic:spPr bwMode="auto">
                    <a:xfrm>
                      <a:off x="0" y="0"/>
                      <a:ext cx="695325" cy="117159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27B70" w:rsidRPr="00CC504A">
        <w:rPr>
          <w:b/>
          <w:color w:val="002060"/>
          <w:sz w:val="36"/>
          <w:szCs w:val="36"/>
        </w:rPr>
        <w:t>Note sur l</w:t>
      </w:r>
      <w:r w:rsidR="000C7A90" w:rsidRPr="00CC504A">
        <w:rPr>
          <w:b/>
          <w:color w:val="002060"/>
          <w:sz w:val="36"/>
          <w:szCs w:val="36"/>
        </w:rPr>
        <w:t>e projet d’</w:t>
      </w:r>
      <w:r w:rsidR="00027B70" w:rsidRPr="00CC504A">
        <w:rPr>
          <w:b/>
          <w:color w:val="002060"/>
          <w:sz w:val="36"/>
          <w:szCs w:val="36"/>
        </w:rPr>
        <w:t>accord télétravail</w:t>
      </w:r>
    </w:p>
    <w:p w14:paraId="2CC9674E" w14:textId="77777777" w:rsidR="00CC504A" w:rsidRPr="00CC504A" w:rsidRDefault="00CC504A" w:rsidP="001B640B">
      <w:pPr>
        <w:spacing w:after="0" w:line="240" w:lineRule="auto"/>
        <w:jc w:val="center"/>
        <w:rPr>
          <w:b/>
          <w:color w:val="002060"/>
          <w:sz w:val="36"/>
          <w:szCs w:val="36"/>
        </w:rPr>
      </w:pPr>
    </w:p>
    <w:p w14:paraId="69D7CC69" w14:textId="6214989E" w:rsidR="002C31D4" w:rsidRDefault="002C31D4" w:rsidP="001B640B">
      <w:pPr>
        <w:spacing w:after="0" w:line="240" w:lineRule="auto"/>
        <w:jc w:val="both"/>
      </w:pPr>
    </w:p>
    <w:p w14:paraId="5B06C75E" w14:textId="77777777" w:rsidR="0045087D" w:rsidRDefault="0045087D" w:rsidP="001B640B">
      <w:pPr>
        <w:spacing w:after="0" w:line="240" w:lineRule="auto"/>
        <w:jc w:val="both"/>
      </w:pPr>
      <w:r>
        <w:t xml:space="preserve">Après plus d’un an de discussion, le ministère a enfin proposé un projet d’accord relatif au télétravail pour l’éducation nationale (et Jeunesse et sports). Cet accord est une déclinaison de l’accord fonction publique sur le télétravail du 13 juillet 2021. </w:t>
      </w:r>
      <w:r w:rsidR="002C31D4" w:rsidRPr="002C31D4">
        <w:rPr>
          <w:b/>
        </w:rPr>
        <w:t>Notre organisation doit donner sa réponse au ministère sur le projet de texte au 31 mars 2023.</w:t>
      </w:r>
    </w:p>
    <w:p w14:paraId="2E1B518B" w14:textId="77777777" w:rsidR="002C31D4" w:rsidRDefault="002C31D4" w:rsidP="001B640B">
      <w:pPr>
        <w:spacing w:after="0" w:line="240" w:lineRule="auto"/>
        <w:jc w:val="both"/>
      </w:pPr>
    </w:p>
    <w:p w14:paraId="691406A7" w14:textId="77777777" w:rsidR="00027B70" w:rsidRPr="006530E2" w:rsidRDefault="0045087D" w:rsidP="001B640B">
      <w:pPr>
        <w:spacing w:after="0" w:line="240" w:lineRule="auto"/>
        <w:jc w:val="both"/>
        <w:rPr>
          <w:u w:val="single"/>
        </w:rPr>
      </w:pPr>
      <w:r>
        <w:t>Cet accord est très attendu dans les services administratifs où le télétravail s’est très largement développé depuis la crise sanitair</w:t>
      </w:r>
      <w:r w:rsidRPr="000C7A90">
        <w:t xml:space="preserve">e. </w:t>
      </w:r>
      <w:r w:rsidRPr="006530E2">
        <w:rPr>
          <w:u w:val="single"/>
        </w:rPr>
        <w:t xml:space="preserve">Il exclut les personnels enseignants du dispositif, conformément à nos revendications. </w:t>
      </w:r>
    </w:p>
    <w:p w14:paraId="4050279C" w14:textId="77777777" w:rsidR="0045087D" w:rsidRDefault="0045087D" w:rsidP="001B640B">
      <w:pPr>
        <w:spacing w:after="0" w:line="240" w:lineRule="auto"/>
        <w:jc w:val="both"/>
      </w:pPr>
      <w:r>
        <w:t xml:space="preserve">Dans l’ensemble, </w:t>
      </w:r>
      <w:r w:rsidRPr="000C7A90">
        <w:rPr>
          <w:b/>
        </w:rPr>
        <w:t>ce projet d’accord permet de clarifier la réglementation applicable aux personnels de l’éducation nationale</w:t>
      </w:r>
      <w:r w:rsidR="006530E2">
        <w:t xml:space="preserve"> et complète le </w:t>
      </w:r>
      <w:hyperlink r:id="rId8" w:history="1">
        <w:r w:rsidR="006530E2" w:rsidRPr="000C7A90">
          <w:rPr>
            <w:rStyle w:val="Lienhypertexte"/>
          </w:rPr>
          <w:t>décret n° 2016-151 du 11 février 2016</w:t>
        </w:r>
      </w:hyperlink>
      <w:r w:rsidR="006530E2">
        <w:t xml:space="preserve"> modifié en mai 2020. Il approfondit les droits obtenus dans le cadre de l’accord interministériel, selon le principe de faveur. </w:t>
      </w:r>
      <w:r w:rsidR="006530E2" w:rsidRPr="001B640B">
        <w:rPr>
          <w:b/>
        </w:rPr>
        <w:t>Il consacre les principes de volontariat et réversibilité que nous avons inscrit au cœur de nos repères Santé Tra</w:t>
      </w:r>
      <w:r w:rsidR="001B640B" w:rsidRPr="001B640B">
        <w:rPr>
          <w:b/>
        </w:rPr>
        <w:t>vail</w:t>
      </w:r>
      <w:r w:rsidR="001B640B">
        <w:t xml:space="preserve"> concernant le télétravail </w:t>
      </w:r>
      <w:r w:rsidR="0011630D">
        <w:t xml:space="preserve">(fiche 4) </w:t>
      </w:r>
      <w:r w:rsidR="001B640B">
        <w:t>et satisfait en grande partie au cadre décrit dans ses repères.</w:t>
      </w:r>
    </w:p>
    <w:p w14:paraId="5E0C5793" w14:textId="77777777" w:rsidR="001B640B" w:rsidRDefault="001B640B" w:rsidP="001B640B">
      <w:pPr>
        <w:spacing w:after="0" w:line="240" w:lineRule="auto"/>
        <w:jc w:val="both"/>
        <w:rPr>
          <w:i/>
          <w:u w:val="single"/>
        </w:rPr>
      </w:pPr>
    </w:p>
    <w:p w14:paraId="1A887C52" w14:textId="77777777" w:rsidR="000C7A90" w:rsidRDefault="000C7A90" w:rsidP="001B640B">
      <w:pPr>
        <w:spacing w:after="0" w:line="240" w:lineRule="auto"/>
        <w:jc w:val="both"/>
        <w:rPr>
          <w:i/>
          <w:u w:val="single"/>
        </w:rPr>
      </w:pPr>
      <w:r w:rsidRPr="000C7A90">
        <w:rPr>
          <w:i/>
          <w:u w:val="single"/>
        </w:rPr>
        <w:t>Au vu du texte proposé et des évolutions acquises lors de la négociation, il paraît possible de signer l’accord.</w:t>
      </w:r>
    </w:p>
    <w:p w14:paraId="45404972" w14:textId="77777777" w:rsidR="001B640B" w:rsidRPr="000C7A90" w:rsidRDefault="001B640B" w:rsidP="001B640B">
      <w:pPr>
        <w:spacing w:after="0" w:line="240" w:lineRule="auto"/>
        <w:jc w:val="both"/>
        <w:rPr>
          <w:i/>
          <w:u w:val="single"/>
        </w:rPr>
      </w:pPr>
    </w:p>
    <w:p w14:paraId="4E4E6904" w14:textId="77777777" w:rsidR="006530E2" w:rsidRPr="006530E2" w:rsidRDefault="003911D6" w:rsidP="001B640B">
      <w:pPr>
        <w:pStyle w:val="Paragraphedeliste"/>
        <w:numPr>
          <w:ilvl w:val="0"/>
          <w:numId w:val="1"/>
        </w:numPr>
        <w:spacing w:after="0" w:line="240" w:lineRule="auto"/>
        <w:jc w:val="both"/>
      </w:pPr>
      <w:r>
        <w:rPr>
          <w:b/>
        </w:rPr>
        <w:t>Principal e</w:t>
      </w:r>
      <w:r w:rsidR="006530E2">
        <w:rPr>
          <w:b/>
        </w:rPr>
        <w:t xml:space="preserve">njeu de la négociation Education nationale : </w:t>
      </w:r>
      <w:r w:rsidR="001B640B">
        <w:rPr>
          <w:b/>
        </w:rPr>
        <w:t xml:space="preserve">définir </w:t>
      </w:r>
      <w:r w:rsidR="006530E2">
        <w:rPr>
          <w:b/>
        </w:rPr>
        <w:t xml:space="preserve">les activités </w:t>
      </w:r>
      <w:proofErr w:type="spellStart"/>
      <w:r w:rsidR="006530E2">
        <w:rPr>
          <w:b/>
        </w:rPr>
        <w:t>télétravaillables</w:t>
      </w:r>
      <w:proofErr w:type="spellEnd"/>
    </w:p>
    <w:p w14:paraId="311F9226" w14:textId="77777777" w:rsidR="001B640B" w:rsidRDefault="001B640B" w:rsidP="001B640B">
      <w:pPr>
        <w:spacing w:after="0" w:line="240" w:lineRule="auto"/>
        <w:jc w:val="both"/>
      </w:pPr>
    </w:p>
    <w:p w14:paraId="23369186" w14:textId="77777777" w:rsidR="001B640B" w:rsidRDefault="001B640B" w:rsidP="001B640B">
      <w:pPr>
        <w:spacing w:after="0" w:line="240" w:lineRule="auto"/>
        <w:jc w:val="both"/>
      </w:pPr>
      <w:r>
        <w:t xml:space="preserve">L’éligibilité au télétravail se détermine par les activités exercées, et non par les postes occupés ou le statut de l’agent. </w:t>
      </w:r>
      <w:r w:rsidR="006530E2">
        <w:t xml:space="preserve">Tout l’enjeu de la négociation Télétravail à l’éducation nationale était de définir les activités qui pouvaient être télétravaillées (article 4). </w:t>
      </w:r>
    </w:p>
    <w:p w14:paraId="7F7993B9" w14:textId="77777777" w:rsidR="006530E2" w:rsidRPr="00CE7903" w:rsidRDefault="006530E2" w:rsidP="001B640B">
      <w:pPr>
        <w:spacing w:after="0" w:line="240" w:lineRule="auto"/>
        <w:jc w:val="both"/>
        <w:rPr>
          <w:rFonts w:cstheme="minorHAnsi"/>
        </w:rPr>
      </w:pPr>
      <w:r>
        <w:t>Au-delà de l’</w:t>
      </w:r>
      <w:r w:rsidR="001B640B">
        <w:t>exclusion des activités d’enseignement</w:t>
      </w:r>
      <w:r>
        <w:t xml:space="preserve">, </w:t>
      </w:r>
      <w:r w:rsidRPr="001B640B">
        <w:rPr>
          <w:b/>
        </w:rPr>
        <w:t xml:space="preserve">s’est posée </w:t>
      </w:r>
      <w:r w:rsidR="001B640B" w:rsidRPr="001B640B">
        <w:rPr>
          <w:b/>
        </w:rPr>
        <w:t xml:space="preserve">rapidement </w:t>
      </w:r>
      <w:r w:rsidRPr="001B640B">
        <w:rPr>
          <w:b/>
        </w:rPr>
        <w:t>la question de l’éligibilité des personnels administratifs et non enseignants exerçant en EPLE</w:t>
      </w:r>
      <w:r>
        <w:t xml:space="preserve">. La rédaction retenue pour le projet d’accord est le fruit d’un compromis. Elle permet de réintégrer les personnels administratifs initialement évincés de la proposition </w:t>
      </w:r>
      <w:r w:rsidR="001B640B">
        <w:t xml:space="preserve">par l’administration </w:t>
      </w:r>
      <w:r w:rsidR="00CE7903">
        <w:t xml:space="preserve">et cadre l’exercice en télétravail pour les personnels de direction, d’éducation et de santé sous forme de jours flottants et hors présence des élèves : </w:t>
      </w:r>
    </w:p>
    <w:p w14:paraId="76251C6F" w14:textId="77777777" w:rsidR="006530E2" w:rsidRPr="00CE7903" w:rsidRDefault="00CE7903" w:rsidP="001B640B">
      <w:pPr>
        <w:pStyle w:val="Corpsdetexte"/>
        <w:spacing w:line="240" w:lineRule="auto"/>
        <w:ind w:left="708"/>
        <w:jc w:val="both"/>
        <w:rPr>
          <w:rFonts w:cstheme="minorHAnsi"/>
          <w:i/>
          <w:sz w:val="22"/>
        </w:rPr>
      </w:pPr>
      <w:r w:rsidRPr="00CE7903">
        <w:rPr>
          <w:rFonts w:cstheme="minorHAnsi"/>
          <w:i/>
          <w:sz w:val="22"/>
        </w:rPr>
        <w:t>« </w:t>
      </w:r>
      <w:r w:rsidR="006530E2" w:rsidRPr="00CE7903">
        <w:rPr>
          <w:rFonts w:cstheme="minorHAnsi"/>
          <w:i/>
          <w:sz w:val="22"/>
        </w:rPr>
        <w:t>Ainsi, au sein des établissements publics locaux d’enseignement, le télétravail peut être mis en place à condition qu’il soit compatible avec le bon fonctionnement du service public et qu’il s’inscrive dans le cadre d’une organisation collective du travail garantissant la présence d’un effectif suffisant d’adultes au sein de l’établissement. Il est autorisé en fonction du cycle des activités et après échange au sein de l’équipe de travail.</w:t>
      </w:r>
    </w:p>
    <w:p w14:paraId="08C0D4D3" w14:textId="77777777" w:rsidR="006530E2" w:rsidRPr="00CE7903" w:rsidRDefault="006530E2" w:rsidP="001B640B">
      <w:pPr>
        <w:pStyle w:val="Corpsdetexte"/>
        <w:spacing w:line="240" w:lineRule="auto"/>
        <w:ind w:left="708"/>
        <w:jc w:val="both"/>
        <w:rPr>
          <w:rFonts w:cstheme="minorHAnsi"/>
          <w:i/>
          <w:sz w:val="22"/>
        </w:rPr>
      </w:pPr>
      <w:r w:rsidRPr="00CE7903">
        <w:rPr>
          <w:rFonts w:cstheme="minorHAnsi"/>
          <w:i/>
          <w:sz w:val="22"/>
        </w:rPr>
        <w:t>Pour les activités exercées en établissement par les personnels de direction, d’éducation et de santé, les jours de télétravail sont pris exclusivement sous forme des jours flottants définis à l’article 6 et pendant les périodes d’absence des élèves, notamment pendant les vacances scolaires ou le mercredi après-midi</w:t>
      </w:r>
      <w:r w:rsidR="00CE7903" w:rsidRPr="00CE7903">
        <w:rPr>
          <w:rFonts w:cstheme="minorHAnsi"/>
          <w:i/>
          <w:sz w:val="22"/>
        </w:rPr>
        <w:t>. »</w:t>
      </w:r>
    </w:p>
    <w:p w14:paraId="68B157ED" w14:textId="77777777" w:rsidR="001B640B" w:rsidRDefault="001B640B" w:rsidP="001B640B">
      <w:pPr>
        <w:spacing w:after="0" w:line="240" w:lineRule="auto"/>
        <w:jc w:val="both"/>
      </w:pPr>
    </w:p>
    <w:p w14:paraId="7686FE8E" w14:textId="77777777" w:rsidR="001B640B" w:rsidRDefault="001B640B" w:rsidP="003911D6">
      <w:pPr>
        <w:shd w:val="clear" w:color="auto" w:fill="BFBFBF" w:themeFill="background1" w:themeFillShade="BF"/>
        <w:spacing w:after="0" w:line="240" w:lineRule="auto"/>
        <w:jc w:val="both"/>
      </w:pPr>
      <w:r w:rsidRPr="001B640B">
        <w:t xml:space="preserve">L’exclusion des personnels administratifs des EPLE </w:t>
      </w:r>
      <w:r w:rsidR="00BB1CD0">
        <w:t>(</w:t>
      </w:r>
      <w:r w:rsidRPr="001B640B">
        <w:t>alors que les personnels des services déconcentrés (rectorat / IA) ou d’administration centrale étaient éligibles</w:t>
      </w:r>
      <w:r w:rsidR="00BB1CD0">
        <w:t>)</w:t>
      </w:r>
      <w:r w:rsidRPr="001B640B">
        <w:t xml:space="preserve"> posait un vrai problème d’égalité et était une ligne rouge. Leur réintégration rend la signature possible. De même l’attribution de jours flottants hors période de présence des élèves pour les personnels d’éducation, de santé et de direction paraît une position acceptable par tous. A souligner la rédaction qui met en avant l’organisation collective du travail</w:t>
      </w:r>
      <w:r>
        <w:t>.</w:t>
      </w:r>
    </w:p>
    <w:p w14:paraId="33E07729" w14:textId="77777777" w:rsidR="001B640B" w:rsidRDefault="001B640B" w:rsidP="001B640B">
      <w:pPr>
        <w:spacing w:after="0" w:line="240" w:lineRule="auto"/>
        <w:jc w:val="both"/>
      </w:pPr>
    </w:p>
    <w:p w14:paraId="45483730" w14:textId="77777777" w:rsidR="00D81288" w:rsidRPr="006530E2" w:rsidRDefault="00BB1CD0" w:rsidP="001B640B">
      <w:pPr>
        <w:pStyle w:val="Paragraphedeliste"/>
        <w:numPr>
          <w:ilvl w:val="0"/>
          <w:numId w:val="1"/>
        </w:numPr>
        <w:spacing w:after="0" w:line="240" w:lineRule="auto"/>
        <w:jc w:val="both"/>
      </w:pPr>
      <w:r>
        <w:rPr>
          <w:b/>
        </w:rPr>
        <w:t>Nouveautés et droits garantis en 2020</w:t>
      </w:r>
      <w:r w:rsidR="00D81288">
        <w:rPr>
          <w:b/>
        </w:rPr>
        <w:t xml:space="preserve"> consacrés dans le projet d’accord </w:t>
      </w:r>
    </w:p>
    <w:p w14:paraId="28139D34" w14:textId="77777777" w:rsidR="00E84A09" w:rsidRPr="00BB1CD0" w:rsidRDefault="001B640B" w:rsidP="00BB1CD0">
      <w:pPr>
        <w:spacing w:after="0" w:line="240" w:lineRule="auto"/>
        <w:jc w:val="both"/>
        <w:rPr>
          <w:rFonts w:cstheme="minorHAnsi"/>
        </w:rPr>
      </w:pPr>
      <w:r>
        <w:rPr>
          <w:rFonts w:cstheme="minorHAnsi"/>
        </w:rPr>
        <w:lastRenderedPageBreak/>
        <w:t xml:space="preserve">L’impatience des collègues administratifs à voir sortir cet accord vient notamment du fait que l’administration attend sa publication pour appliquer les avancées </w:t>
      </w:r>
      <w:r w:rsidR="00BB1CD0">
        <w:rPr>
          <w:rFonts w:cstheme="minorHAnsi"/>
        </w:rPr>
        <w:t>et droits garantis par le</w:t>
      </w:r>
      <w:r>
        <w:rPr>
          <w:rFonts w:cstheme="minorHAnsi"/>
        </w:rPr>
        <w:t xml:space="preserve"> décret de 2016 modifiés par </w:t>
      </w:r>
      <w:r w:rsidR="00E84A09" w:rsidRPr="00BB1CD0">
        <w:rPr>
          <w:rFonts w:cstheme="minorHAnsi"/>
        </w:rPr>
        <w:t>le décret du 5 mai 2020</w:t>
      </w:r>
      <w:r w:rsidR="00BB1CD0">
        <w:rPr>
          <w:rFonts w:cstheme="minorHAnsi"/>
        </w:rPr>
        <w:t xml:space="preserve"> puis l’accord fonction publique de 2021, notamment : </w:t>
      </w:r>
    </w:p>
    <w:p w14:paraId="13829575" w14:textId="77777777" w:rsidR="00D81288" w:rsidRPr="00D81288" w:rsidRDefault="00D81288" w:rsidP="001B640B">
      <w:pPr>
        <w:pStyle w:val="Paragraphedeliste"/>
        <w:numPr>
          <w:ilvl w:val="0"/>
          <w:numId w:val="3"/>
        </w:numPr>
        <w:autoSpaceDE w:val="0"/>
        <w:autoSpaceDN w:val="0"/>
        <w:adjustRightInd w:val="0"/>
        <w:spacing w:after="0" w:line="240" w:lineRule="auto"/>
        <w:rPr>
          <w:rFonts w:cstheme="minorHAnsi"/>
        </w:rPr>
      </w:pPr>
      <w:r w:rsidRPr="00D81288">
        <w:rPr>
          <w:rFonts w:cstheme="minorHAnsi"/>
        </w:rPr>
        <w:t>Mise en place des jours flottants</w:t>
      </w:r>
    </w:p>
    <w:p w14:paraId="13AC5A83" w14:textId="77777777" w:rsidR="00D81288" w:rsidRPr="00D81288" w:rsidRDefault="00D81288" w:rsidP="001B640B">
      <w:pPr>
        <w:pStyle w:val="Paragraphedeliste"/>
        <w:numPr>
          <w:ilvl w:val="0"/>
          <w:numId w:val="3"/>
        </w:numPr>
        <w:autoSpaceDE w:val="0"/>
        <w:autoSpaceDN w:val="0"/>
        <w:adjustRightInd w:val="0"/>
        <w:spacing w:after="0" w:line="240" w:lineRule="auto"/>
        <w:rPr>
          <w:rFonts w:cstheme="minorHAnsi"/>
        </w:rPr>
      </w:pPr>
      <w:r w:rsidRPr="00D81288">
        <w:rPr>
          <w:rFonts w:cstheme="minorHAnsi"/>
        </w:rPr>
        <w:t>3 jours de télétravail possibles par semaine (2 jours de présence sur site obligatoires)</w:t>
      </w:r>
    </w:p>
    <w:p w14:paraId="5618FF1F" w14:textId="77777777" w:rsidR="00D81288" w:rsidRPr="00D81288" w:rsidRDefault="00D81288" w:rsidP="001B640B">
      <w:pPr>
        <w:pStyle w:val="Paragraphedeliste"/>
        <w:numPr>
          <w:ilvl w:val="0"/>
          <w:numId w:val="3"/>
        </w:numPr>
        <w:autoSpaceDE w:val="0"/>
        <w:autoSpaceDN w:val="0"/>
        <w:adjustRightInd w:val="0"/>
        <w:spacing w:after="0" w:line="240" w:lineRule="auto"/>
        <w:rPr>
          <w:rFonts w:cstheme="minorHAnsi"/>
        </w:rPr>
      </w:pPr>
      <w:r w:rsidRPr="00D81288">
        <w:rPr>
          <w:rFonts w:cstheme="minorHAnsi"/>
        </w:rPr>
        <w:t>Possibilité de varier les lieux d’exercice du télétravail</w:t>
      </w:r>
    </w:p>
    <w:p w14:paraId="1800368F" w14:textId="77777777" w:rsidR="00D81288" w:rsidRPr="00D81288" w:rsidRDefault="00D81288" w:rsidP="001B640B">
      <w:pPr>
        <w:pStyle w:val="Paragraphedeliste"/>
        <w:numPr>
          <w:ilvl w:val="0"/>
          <w:numId w:val="3"/>
        </w:numPr>
        <w:autoSpaceDE w:val="0"/>
        <w:autoSpaceDN w:val="0"/>
        <w:adjustRightInd w:val="0"/>
        <w:spacing w:after="0" w:line="240" w:lineRule="auto"/>
        <w:rPr>
          <w:rFonts w:cstheme="minorHAnsi"/>
        </w:rPr>
      </w:pPr>
      <w:r w:rsidRPr="00D81288">
        <w:rPr>
          <w:rFonts w:cstheme="minorHAnsi"/>
        </w:rPr>
        <w:t>Reconduction automatique des protocoles annuels individuels de télétravail</w:t>
      </w:r>
    </w:p>
    <w:p w14:paraId="5B39CDCF" w14:textId="77777777" w:rsidR="00D81288" w:rsidRPr="00D81288" w:rsidRDefault="00D81288" w:rsidP="001B640B">
      <w:pPr>
        <w:pStyle w:val="Paragraphedeliste"/>
        <w:numPr>
          <w:ilvl w:val="0"/>
          <w:numId w:val="3"/>
        </w:numPr>
        <w:autoSpaceDE w:val="0"/>
        <w:autoSpaceDN w:val="0"/>
        <w:adjustRightInd w:val="0"/>
        <w:spacing w:after="0" w:line="240" w:lineRule="auto"/>
        <w:rPr>
          <w:rFonts w:cstheme="minorHAnsi"/>
        </w:rPr>
      </w:pPr>
      <w:r w:rsidRPr="00D81288">
        <w:rPr>
          <w:rFonts w:cstheme="minorHAnsi"/>
        </w:rPr>
        <w:t>Droit effectif à la déconnexion</w:t>
      </w:r>
    </w:p>
    <w:p w14:paraId="53997170" w14:textId="77777777" w:rsidR="00D81288" w:rsidRPr="00BB1CD0" w:rsidRDefault="00D81288" w:rsidP="001B640B">
      <w:pPr>
        <w:pStyle w:val="Paragraphedeliste"/>
        <w:numPr>
          <w:ilvl w:val="0"/>
          <w:numId w:val="3"/>
        </w:numPr>
        <w:autoSpaceDE w:val="0"/>
        <w:autoSpaceDN w:val="0"/>
        <w:adjustRightInd w:val="0"/>
        <w:spacing w:after="0" w:line="240" w:lineRule="auto"/>
        <w:rPr>
          <w:rFonts w:cstheme="minorHAnsi"/>
        </w:rPr>
      </w:pPr>
      <w:r w:rsidRPr="00D81288">
        <w:rPr>
          <w:rFonts w:cstheme="minorHAnsi"/>
        </w:rPr>
        <w:t>Equipement à la charge de l'administration</w:t>
      </w:r>
    </w:p>
    <w:p w14:paraId="40A1BD77" w14:textId="77777777" w:rsidR="003911D6" w:rsidRDefault="003911D6" w:rsidP="001B640B">
      <w:pPr>
        <w:autoSpaceDE w:val="0"/>
        <w:autoSpaceDN w:val="0"/>
        <w:adjustRightInd w:val="0"/>
        <w:spacing w:after="0" w:line="240" w:lineRule="auto"/>
        <w:jc w:val="both"/>
        <w:rPr>
          <w:rFonts w:cstheme="minorHAnsi"/>
          <w:b/>
          <w:bCs/>
        </w:rPr>
      </w:pPr>
    </w:p>
    <w:p w14:paraId="17EE47AA" w14:textId="77777777" w:rsidR="00E84A09" w:rsidRDefault="00BB1CD0" w:rsidP="003911D6">
      <w:pPr>
        <w:shd w:val="clear" w:color="auto" w:fill="BFBFBF" w:themeFill="background1" w:themeFillShade="BF"/>
        <w:autoSpaceDE w:val="0"/>
        <w:autoSpaceDN w:val="0"/>
        <w:adjustRightInd w:val="0"/>
        <w:spacing w:after="0" w:line="240" w:lineRule="auto"/>
        <w:jc w:val="both"/>
        <w:rPr>
          <w:rFonts w:cstheme="minorHAnsi"/>
          <w:bCs/>
        </w:rPr>
      </w:pPr>
      <w:r w:rsidRPr="00BB1CD0">
        <w:rPr>
          <w:rFonts w:cstheme="minorHAnsi"/>
          <w:b/>
          <w:bCs/>
        </w:rPr>
        <w:t>Les trois ans de</w:t>
      </w:r>
      <w:r w:rsidR="00E84A09" w:rsidRPr="00BB1CD0">
        <w:rPr>
          <w:rFonts w:cstheme="minorHAnsi"/>
          <w:b/>
          <w:bCs/>
        </w:rPr>
        <w:t xml:space="preserve"> retard </w:t>
      </w:r>
      <w:r w:rsidRPr="00BB1CD0">
        <w:rPr>
          <w:rFonts w:cstheme="minorHAnsi"/>
          <w:b/>
          <w:bCs/>
        </w:rPr>
        <w:t>pris par l’administration sont interprétés par les agents comme un véritable mépris pour les personnels administratifs</w:t>
      </w:r>
      <w:r w:rsidRPr="00BB1CD0">
        <w:rPr>
          <w:rFonts w:cstheme="minorHAnsi"/>
          <w:bCs/>
        </w:rPr>
        <w:t>. Le dossier n’est pas considéré comme prioritaire parce qu’il ne concerne pas les enseignants ! Mais c’est aussi la manifestation d’un manque de confiance envers le travail en auton</w:t>
      </w:r>
      <w:r>
        <w:rPr>
          <w:rFonts w:cstheme="minorHAnsi"/>
          <w:bCs/>
        </w:rPr>
        <w:t>omie des agents administratifs, quand ils exercent en télétravail et donc loin du contrôle direct de leur hiérarchie.</w:t>
      </w:r>
    </w:p>
    <w:p w14:paraId="2B3FF889" w14:textId="77777777" w:rsidR="003911D6" w:rsidRDefault="003911D6" w:rsidP="001B640B">
      <w:pPr>
        <w:autoSpaceDE w:val="0"/>
        <w:autoSpaceDN w:val="0"/>
        <w:adjustRightInd w:val="0"/>
        <w:spacing w:after="0" w:line="240" w:lineRule="auto"/>
        <w:jc w:val="both"/>
        <w:rPr>
          <w:rFonts w:cstheme="minorHAnsi"/>
          <w:bCs/>
        </w:rPr>
      </w:pPr>
    </w:p>
    <w:p w14:paraId="1F30678C" w14:textId="77777777" w:rsidR="00BB1CD0" w:rsidRPr="00BB1CD0" w:rsidRDefault="00BB1CD0" w:rsidP="00BB1CD0">
      <w:pPr>
        <w:pStyle w:val="Paragraphedeliste"/>
        <w:spacing w:after="0" w:line="240" w:lineRule="auto"/>
        <w:jc w:val="both"/>
      </w:pPr>
    </w:p>
    <w:p w14:paraId="1F013596" w14:textId="77777777" w:rsidR="00BB1CD0" w:rsidRPr="006530E2" w:rsidRDefault="00BB1CD0" w:rsidP="00BB1CD0">
      <w:pPr>
        <w:pStyle w:val="Paragraphedeliste"/>
        <w:numPr>
          <w:ilvl w:val="0"/>
          <w:numId w:val="1"/>
        </w:numPr>
        <w:spacing w:after="0" w:line="240" w:lineRule="auto"/>
        <w:jc w:val="both"/>
      </w:pPr>
      <w:r>
        <w:rPr>
          <w:b/>
        </w:rPr>
        <w:t>Dans le détail du texte : les avancées obtenues</w:t>
      </w:r>
    </w:p>
    <w:p w14:paraId="0C717929" w14:textId="77777777" w:rsidR="00E84A09" w:rsidRPr="00E84A09" w:rsidRDefault="00E84A09" w:rsidP="001B640B">
      <w:pPr>
        <w:spacing w:after="0" w:line="240" w:lineRule="auto"/>
        <w:rPr>
          <w:rFonts w:eastAsia="Times New Roman" w:cstheme="minorHAnsi"/>
          <w:lang w:eastAsia="fr-FR"/>
        </w:rPr>
      </w:pPr>
    </w:p>
    <w:p w14:paraId="7841E02D" w14:textId="77777777" w:rsidR="00BB1CD0" w:rsidRPr="00BB1CD0" w:rsidRDefault="00E84A09" w:rsidP="00BB1CD0">
      <w:pPr>
        <w:pStyle w:val="Paragraphedeliste"/>
        <w:numPr>
          <w:ilvl w:val="1"/>
          <w:numId w:val="3"/>
        </w:numPr>
        <w:spacing w:after="0" w:line="240" w:lineRule="auto"/>
        <w:rPr>
          <w:rFonts w:eastAsia="Times New Roman" w:cstheme="minorHAnsi"/>
          <w:lang w:eastAsia="fr-FR"/>
        </w:rPr>
      </w:pPr>
      <w:proofErr w:type="gramStart"/>
      <w:r w:rsidRPr="00BB1CD0">
        <w:rPr>
          <w:rFonts w:eastAsia="Times New Roman" w:cstheme="minorHAnsi"/>
          <w:b/>
          <w:lang w:eastAsia="fr-FR"/>
        </w:rPr>
        <w:t>la</w:t>
      </w:r>
      <w:proofErr w:type="gramEnd"/>
      <w:r w:rsidRPr="00BB1CD0">
        <w:rPr>
          <w:rFonts w:eastAsia="Times New Roman" w:cstheme="minorHAnsi"/>
          <w:b/>
          <w:lang w:eastAsia="fr-FR"/>
        </w:rPr>
        <w:t xml:space="preserve"> question des locaux :</w:t>
      </w:r>
    </w:p>
    <w:p w14:paraId="124206BA" w14:textId="77777777" w:rsidR="00BB1CD0" w:rsidRDefault="00BB1CD0" w:rsidP="001B640B">
      <w:pPr>
        <w:spacing w:after="0" w:line="240" w:lineRule="auto"/>
        <w:rPr>
          <w:rFonts w:eastAsia="Times New Roman" w:cstheme="minorHAnsi"/>
          <w:lang w:eastAsia="fr-FR"/>
        </w:rPr>
      </w:pPr>
      <w:r>
        <w:rPr>
          <w:rFonts w:eastAsia="Times New Roman" w:cstheme="minorHAnsi"/>
          <w:lang w:eastAsia="fr-FR"/>
        </w:rPr>
        <w:t>Un des spectres du développement du télétravail peut être la réduction des locaux d’exercice et la mise en place de bureaux partagés voire de « </w:t>
      </w:r>
      <w:proofErr w:type="spellStart"/>
      <w:r w:rsidR="00E84A09" w:rsidRPr="00E84A09">
        <w:rPr>
          <w:rFonts w:eastAsia="Times New Roman" w:cstheme="minorHAnsi"/>
          <w:lang w:eastAsia="fr-FR"/>
        </w:rPr>
        <w:t>flex</w:t>
      </w:r>
      <w:proofErr w:type="spellEnd"/>
      <w:r w:rsidR="00E84A09" w:rsidRPr="00E84A09">
        <w:rPr>
          <w:rFonts w:eastAsia="Times New Roman" w:cstheme="minorHAnsi"/>
          <w:lang w:eastAsia="fr-FR"/>
        </w:rPr>
        <w:t>-office</w:t>
      </w:r>
      <w:r>
        <w:rPr>
          <w:rFonts w:eastAsia="Times New Roman" w:cstheme="minorHAnsi"/>
          <w:lang w:eastAsia="fr-FR"/>
        </w:rPr>
        <w:t xml:space="preserve"> ». L’administration voulait introduire dans le texte la notion d’un seuil de présence sur site à partir duquel la discussion sur les usages partagés des locaux pouvait être engagées localement (à partir de 3 jours de télétravail). La CGT a bataillé pour obtenir que la mention soit retirée. </w:t>
      </w:r>
      <w:r w:rsidR="0033598E" w:rsidRPr="0033598E">
        <w:rPr>
          <w:rFonts w:eastAsia="Times New Roman" w:cstheme="minorHAnsi"/>
          <w:u w:val="single"/>
          <w:lang w:eastAsia="fr-FR"/>
        </w:rPr>
        <w:t>C’est une vraie victoire qu’il faut souligner !</w:t>
      </w:r>
      <w:r w:rsidR="0033598E">
        <w:rPr>
          <w:rFonts w:eastAsia="Times New Roman" w:cstheme="minorHAnsi"/>
          <w:lang w:eastAsia="fr-FR"/>
        </w:rPr>
        <w:t xml:space="preserve"> </w:t>
      </w:r>
    </w:p>
    <w:p w14:paraId="0A08C219" w14:textId="77777777" w:rsidR="00BB1CD0" w:rsidRDefault="00BB1CD0" w:rsidP="001B640B">
      <w:pPr>
        <w:spacing w:after="0" w:line="240" w:lineRule="auto"/>
        <w:rPr>
          <w:rFonts w:eastAsia="Times New Roman" w:cstheme="minorHAnsi"/>
          <w:lang w:eastAsia="fr-FR"/>
        </w:rPr>
      </w:pPr>
    </w:p>
    <w:p w14:paraId="0D0AF939" w14:textId="77777777" w:rsidR="00BB1CD0" w:rsidRPr="00BB1CD0" w:rsidRDefault="00E84A09" w:rsidP="00BB1CD0">
      <w:pPr>
        <w:pStyle w:val="Paragraphedeliste"/>
        <w:numPr>
          <w:ilvl w:val="1"/>
          <w:numId w:val="3"/>
        </w:numPr>
        <w:spacing w:after="0" w:line="240" w:lineRule="auto"/>
        <w:rPr>
          <w:rFonts w:eastAsia="Times New Roman" w:cstheme="minorHAnsi"/>
          <w:b/>
          <w:lang w:eastAsia="fr-FR"/>
        </w:rPr>
      </w:pPr>
      <w:proofErr w:type="gramStart"/>
      <w:r w:rsidRPr="00BB1CD0">
        <w:rPr>
          <w:rFonts w:eastAsia="Times New Roman" w:cstheme="minorHAnsi"/>
          <w:b/>
          <w:lang w:eastAsia="fr-FR"/>
        </w:rPr>
        <w:t>la</w:t>
      </w:r>
      <w:proofErr w:type="gramEnd"/>
      <w:r w:rsidRPr="00BB1CD0">
        <w:rPr>
          <w:rFonts w:eastAsia="Times New Roman" w:cstheme="minorHAnsi"/>
          <w:b/>
          <w:lang w:eastAsia="fr-FR"/>
        </w:rPr>
        <w:t xml:space="preserve"> question des voix de recours : </w:t>
      </w:r>
    </w:p>
    <w:p w14:paraId="7907C5C3" w14:textId="77777777" w:rsidR="00E84A09" w:rsidRDefault="00BB1CD0" w:rsidP="001B640B">
      <w:pPr>
        <w:spacing w:after="0" w:line="240" w:lineRule="auto"/>
        <w:rPr>
          <w:rFonts w:eastAsia="Times New Roman" w:cstheme="minorHAnsi"/>
          <w:lang w:eastAsia="fr-FR"/>
        </w:rPr>
      </w:pPr>
      <w:r>
        <w:rPr>
          <w:rFonts w:eastAsia="Times New Roman" w:cstheme="minorHAnsi"/>
          <w:lang w:eastAsia="fr-FR"/>
        </w:rPr>
        <w:t>L</w:t>
      </w:r>
      <w:r w:rsidR="00E84A09" w:rsidRPr="00E84A09">
        <w:rPr>
          <w:rFonts w:eastAsia="Times New Roman" w:cstheme="minorHAnsi"/>
          <w:lang w:eastAsia="fr-FR"/>
        </w:rPr>
        <w:t xml:space="preserve">es CAP sont </w:t>
      </w:r>
      <w:proofErr w:type="gramStart"/>
      <w:r w:rsidR="00E84A09" w:rsidRPr="00E84A09">
        <w:rPr>
          <w:rFonts w:eastAsia="Times New Roman" w:cstheme="minorHAnsi"/>
          <w:lang w:eastAsia="fr-FR"/>
        </w:rPr>
        <w:t>convoquées</w:t>
      </w:r>
      <w:proofErr w:type="gramEnd"/>
      <w:r w:rsidR="00E84A09" w:rsidRPr="00E84A09">
        <w:rPr>
          <w:rFonts w:eastAsia="Times New Roman" w:cstheme="minorHAnsi"/>
          <w:lang w:eastAsia="fr-FR"/>
        </w:rPr>
        <w:t xml:space="preserve"> trop peu fréquemment pour être des instances de recours efficaces (mais c'est le décret !)</w:t>
      </w:r>
      <w:r>
        <w:rPr>
          <w:rFonts w:eastAsia="Times New Roman" w:cstheme="minorHAnsi"/>
          <w:lang w:eastAsia="fr-FR"/>
        </w:rPr>
        <w:t xml:space="preserve">. Le texte introduit la possibilité </w:t>
      </w:r>
      <w:r w:rsidR="0033598E">
        <w:rPr>
          <w:rFonts w:eastAsia="Times New Roman" w:cstheme="minorHAnsi"/>
          <w:lang w:eastAsia="fr-FR"/>
        </w:rPr>
        <w:t xml:space="preserve">d’intermédiation rapide avant saisine de la CAP et introduit un délai maximum de 3 mois pour réunir la CAP (article 11). </w:t>
      </w:r>
    </w:p>
    <w:p w14:paraId="3A3AC3AD" w14:textId="77777777" w:rsidR="0033598E" w:rsidRDefault="0033598E" w:rsidP="001B640B">
      <w:pPr>
        <w:spacing w:after="0" w:line="240" w:lineRule="auto"/>
        <w:rPr>
          <w:rFonts w:eastAsia="Times New Roman" w:cstheme="minorHAnsi"/>
          <w:lang w:eastAsia="fr-FR"/>
        </w:rPr>
      </w:pPr>
    </w:p>
    <w:p w14:paraId="7B7184CF" w14:textId="77777777" w:rsidR="0033598E" w:rsidRPr="0033598E" w:rsidRDefault="0033598E" w:rsidP="0033598E">
      <w:pPr>
        <w:pStyle w:val="Paragraphedeliste"/>
        <w:numPr>
          <w:ilvl w:val="1"/>
          <w:numId w:val="3"/>
        </w:numPr>
        <w:spacing w:after="0" w:line="240" w:lineRule="auto"/>
        <w:rPr>
          <w:rFonts w:eastAsia="Times New Roman" w:cstheme="minorHAnsi"/>
          <w:lang w:eastAsia="fr-FR"/>
        </w:rPr>
      </w:pPr>
      <w:r>
        <w:rPr>
          <w:rFonts w:eastAsia="Times New Roman" w:cstheme="minorHAnsi"/>
          <w:b/>
          <w:lang w:eastAsia="fr-FR"/>
        </w:rPr>
        <w:t xml:space="preserve">Le délai d’instruction des demandes : </w:t>
      </w:r>
    </w:p>
    <w:p w14:paraId="4D00E58C" w14:textId="77777777" w:rsidR="0033598E" w:rsidRPr="0033598E" w:rsidRDefault="0033598E" w:rsidP="0033598E">
      <w:pPr>
        <w:spacing w:after="0" w:line="240" w:lineRule="auto"/>
        <w:rPr>
          <w:rFonts w:eastAsia="Times New Roman" w:cstheme="minorHAnsi"/>
          <w:lang w:eastAsia="fr-FR"/>
        </w:rPr>
      </w:pPr>
      <w:r>
        <w:rPr>
          <w:rFonts w:eastAsia="Times New Roman" w:cstheme="minorHAnsi"/>
          <w:lang w:eastAsia="fr-FR"/>
        </w:rPr>
        <w:t xml:space="preserve">L’administration s’engage à instruire les demandes de télétravail dans un délai d’un mois, ce qui est une vraie avancée (article 9). </w:t>
      </w:r>
    </w:p>
    <w:p w14:paraId="3672F883" w14:textId="77777777" w:rsidR="0033598E" w:rsidRDefault="0033598E" w:rsidP="001B640B">
      <w:pPr>
        <w:spacing w:after="0" w:line="240" w:lineRule="auto"/>
        <w:rPr>
          <w:rFonts w:eastAsia="Times New Roman" w:cstheme="minorHAnsi"/>
          <w:lang w:eastAsia="fr-FR"/>
        </w:rPr>
      </w:pPr>
    </w:p>
    <w:p w14:paraId="73B48C75" w14:textId="77777777" w:rsidR="0033598E" w:rsidRPr="0033598E" w:rsidRDefault="00E84A09" w:rsidP="0033598E">
      <w:pPr>
        <w:pStyle w:val="Paragraphedeliste"/>
        <w:numPr>
          <w:ilvl w:val="1"/>
          <w:numId w:val="3"/>
        </w:numPr>
        <w:spacing w:after="0" w:line="240" w:lineRule="auto"/>
        <w:rPr>
          <w:rFonts w:eastAsia="Times New Roman" w:cstheme="minorHAnsi"/>
          <w:b/>
          <w:lang w:eastAsia="fr-FR"/>
        </w:rPr>
      </w:pPr>
      <w:proofErr w:type="gramStart"/>
      <w:r w:rsidRPr="0033598E">
        <w:rPr>
          <w:rFonts w:eastAsia="Times New Roman" w:cstheme="minorHAnsi"/>
          <w:b/>
          <w:lang w:eastAsia="fr-FR"/>
        </w:rPr>
        <w:t>l'effectiv</w:t>
      </w:r>
      <w:r w:rsidR="0033598E" w:rsidRPr="0033598E">
        <w:rPr>
          <w:rFonts w:eastAsia="Times New Roman" w:cstheme="minorHAnsi"/>
          <w:b/>
          <w:lang w:eastAsia="fr-FR"/>
        </w:rPr>
        <w:t>ité</w:t>
      </w:r>
      <w:proofErr w:type="gramEnd"/>
      <w:r w:rsidR="0033598E" w:rsidRPr="0033598E">
        <w:rPr>
          <w:rFonts w:eastAsia="Times New Roman" w:cstheme="minorHAnsi"/>
          <w:b/>
          <w:lang w:eastAsia="fr-FR"/>
        </w:rPr>
        <w:t xml:space="preserve"> du droit à la déconnexion :</w:t>
      </w:r>
    </w:p>
    <w:p w14:paraId="707D60A8" w14:textId="77777777" w:rsidR="0033598E" w:rsidRDefault="0033598E" w:rsidP="001B640B">
      <w:pPr>
        <w:spacing w:after="0" w:line="240" w:lineRule="auto"/>
        <w:rPr>
          <w:rFonts w:eastAsia="Times New Roman" w:cstheme="minorHAnsi"/>
          <w:lang w:eastAsia="fr-FR"/>
        </w:rPr>
      </w:pPr>
      <w:r>
        <w:rPr>
          <w:rFonts w:eastAsia="Times New Roman" w:cstheme="minorHAnsi"/>
          <w:lang w:eastAsia="fr-FR"/>
        </w:rPr>
        <w:t>L</w:t>
      </w:r>
      <w:r w:rsidR="00E84A09" w:rsidRPr="00E84A09">
        <w:rPr>
          <w:rFonts w:eastAsia="Times New Roman" w:cstheme="minorHAnsi"/>
          <w:lang w:eastAsia="fr-FR"/>
        </w:rPr>
        <w:t xml:space="preserve">'affirmer comme principe, c'est bien, le garantir dans la pratique c'est mieux. </w:t>
      </w:r>
      <w:r>
        <w:rPr>
          <w:rFonts w:eastAsia="Times New Roman" w:cstheme="minorHAnsi"/>
          <w:lang w:eastAsia="fr-FR"/>
        </w:rPr>
        <w:t>L’administration s’engage à fournir des outils nécessaires au droit opposable à la déconnexion et notamment l’envoi différé de messages (article 2).</w:t>
      </w:r>
    </w:p>
    <w:p w14:paraId="14F20C7D" w14:textId="77777777" w:rsidR="0033598E" w:rsidRDefault="0033598E" w:rsidP="001B640B">
      <w:pPr>
        <w:spacing w:after="0" w:line="240" w:lineRule="auto"/>
        <w:rPr>
          <w:rFonts w:eastAsia="Times New Roman" w:cstheme="minorHAnsi"/>
          <w:lang w:eastAsia="fr-FR"/>
        </w:rPr>
      </w:pPr>
    </w:p>
    <w:p w14:paraId="24D5C9D7" w14:textId="77777777" w:rsidR="0033598E" w:rsidRPr="0033598E" w:rsidRDefault="0033598E" w:rsidP="0033598E">
      <w:pPr>
        <w:pStyle w:val="Paragraphedeliste"/>
        <w:numPr>
          <w:ilvl w:val="1"/>
          <w:numId w:val="3"/>
        </w:numPr>
        <w:spacing w:after="0" w:line="240" w:lineRule="auto"/>
        <w:rPr>
          <w:rFonts w:eastAsia="Times New Roman" w:cstheme="minorHAnsi"/>
          <w:b/>
          <w:lang w:eastAsia="fr-FR"/>
        </w:rPr>
      </w:pPr>
      <w:r>
        <w:rPr>
          <w:rFonts w:eastAsia="Times New Roman" w:cstheme="minorHAnsi"/>
          <w:b/>
          <w:lang w:eastAsia="fr-FR"/>
        </w:rPr>
        <w:t>Circonstances exceptionnelles et grève</w:t>
      </w:r>
      <w:r w:rsidRPr="0033598E">
        <w:rPr>
          <w:rFonts w:eastAsia="Times New Roman" w:cstheme="minorHAnsi"/>
          <w:b/>
          <w:lang w:eastAsia="fr-FR"/>
        </w:rPr>
        <w:t xml:space="preserve"> :</w:t>
      </w:r>
    </w:p>
    <w:p w14:paraId="38ACF9F3" w14:textId="454649B3" w:rsidR="0045087D" w:rsidRDefault="0033598E" w:rsidP="001B640B">
      <w:pPr>
        <w:spacing w:after="0" w:line="240" w:lineRule="auto"/>
        <w:jc w:val="both"/>
        <w:rPr>
          <w:rFonts w:eastAsia="Times New Roman" w:cstheme="minorHAnsi"/>
          <w:lang w:eastAsia="fr-FR"/>
        </w:rPr>
      </w:pPr>
      <w:r>
        <w:rPr>
          <w:rFonts w:eastAsia="Times New Roman" w:cstheme="minorHAnsi"/>
          <w:lang w:eastAsia="fr-FR"/>
        </w:rPr>
        <w:t xml:space="preserve">L’accord précise de manière très claire que </w:t>
      </w:r>
      <w:r>
        <w:rPr>
          <w:rFonts w:eastAsia="Times New Roman" w:cstheme="minorHAnsi"/>
          <w:i/>
          <w:lang w:eastAsia="fr-FR"/>
        </w:rPr>
        <w:t>« </w:t>
      </w:r>
      <w:r w:rsidRPr="0033598E">
        <w:rPr>
          <w:rFonts w:eastAsia="Times New Roman" w:cstheme="minorHAnsi"/>
          <w:i/>
          <w:lang w:eastAsia="fr-FR"/>
        </w:rPr>
        <w:t>la grève ne peut être considérée comme une circonstance exceptionnelle autorisant l’employeur à imposer le télétravail.</w:t>
      </w:r>
      <w:r>
        <w:rPr>
          <w:rFonts w:eastAsia="Times New Roman" w:cstheme="minorHAnsi"/>
          <w:i/>
          <w:lang w:eastAsia="fr-FR"/>
        </w:rPr>
        <w:t> »</w:t>
      </w:r>
      <w:r w:rsidR="00CC504A">
        <w:rPr>
          <w:rFonts w:eastAsia="Times New Roman" w:cstheme="minorHAnsi"/>
          <w:i/>
          <w:lang w:eastAsia="fr-FR"/>
        </w:rPr>
        <w:t xml:space="preserve"> </w:t>
      </w:r>
      <w:r>
        <w:rPr>
          <w:rFonts w:eastAsia="Times New Roman" w:cstheme="minorHAnsi"/>
          <w:lang w:eastAsia="fr-FR"/>
        </w:rPr>
        <w:t>(</w:t>
      </w:r>
      <w:proofErr w:type="gramStart"/>
      <w:r>
        <w:rPr>
          <w:rFonts w:eastAsia="Times New Roman" w:cstheme="minorHAnsi"/>
          <w:lang w:eastAsia="fr-FR"/>
        </w:rPr>
        <w:t>article</w:t>
      </w:r>
      <w:proofErr w:type="gramEnd"/>
      <w:r>
        <w:rPr>
          <w:rFonts w:eastAsia="Times New Roman" w:cstheme="minorHAnsi"/>
          <w:lang w:eastAsia="fr-FR"/>
        </w:rPr>
        <w:t xml:space="preserve"> 12)</w:t>
      </w:r>
      <w:r w:rsidR="00CC504A">
        <w:rPr>
          <w:rFonts w:eastAsia="Times New Roman" w:cstheme="minorHAnsi"/>
          <w:lang w:eastAsia="fr-FR"/>
        </w:rPr>
        <w:t>.</w:t>
      </w:r>
    </w:p>
    <w:p w14:paraId="5EFDA5A2" w14:textId="77777777" w:rsidR="0033598E" w:rsidRDefault="0033598E" w:rsidP="001B640B">
      <w:pPr>
        <w:spacing w:after="0" w:line="240" w:lineRule="auto"/>
        <w:jc w:val="both"/>
        <w:rPr>
          <w:rFonts w:eastAsia="Times New Roman" w:cstheme="minorHAnsi"/>
          <w:lang w:eastAsia="fr-FR"/>
        </w:rPr>
      </w:pPr>
    </w:p>
    <w:p w14:paraId="43C82732" w14:textId="77777777" w:rsidR="003911D6" w:rsidRDefault="003911D6" w:rsidP="003911D6">
      <w:pPr>
        <w:shd w:val="clear" w:color="auto" w:fill="BFBFBF" w:themeFill="background1" w:themeFillShade="BF"/>
        <w:autoSpaceDE w:val="0"/>
        <w:autoSpaceDN w:val="0"/>
        <w:adjustRightInd w:val="0"/>
        <w:spacing w:after="0" w:line="240" w:lineRule="auto"/>
        <w:jc w:val="both"/>
        <w:rPr>
          <w:rFonts w:cstheme="minorHAnsi"/>
          <w:bCs/>
        </w:rPr>
      </w:pPr>
      <w:r>
        <w:rPr>
          <w:rFonts w:cstheme="minorHAnsi"/>
          <w:b/>
          <w:bCs/>
        </w:rPr>
        <w:t xml:space="preserve">La négociation a été longue mais le texte marque de vraies avancées par rapport à l’accord fonction publique. </w:t>
      </w:r>
    </w:p>
    <w:p w14:paraId="70947FDA" w14:textId="77777777" w:rsidR="003911D6" w:rsidRDefault="003911D6" w:rsidP="001B640B">
      <w:pPr>
        <w:spacing w:after="0" w:line="240" w:lineRule="auto"/>
        <w:jc w:val="both"/>
        <w:rPr>
          <w:rFonts w:eastAsia="Times New Roman" w:cstheme="minorHAnsi"/>
          <w:lang w:eastAsia="fr-FR"/>
        </w:rPr>
      </w:pPr>
    </w:p>
    <w:p w14:paraId="0ABA6A1B" w14:textId="77777777" w:rsidR="0033598E" w:rsidRPr="0033598E" w:rsidRDefault="0033598E" w:rsidP="0033598E">
      <w:pPr>
        <w:pStyle w:val="Paragraphedeliste"/>
        <w:numPr>
          <w:ilvl w:val="0"/>
          <w:numId w:val="1"/>
        </w:numPr>
        <w:spacing w:after="0" w:line="240" w:lineRule="auto"/>
        <w:jc w:val="both"/>
      </w:pPr>
      <w:r>
        <w:rPr>
          <w:b/>
        </w:rPr>
        <w:t>Comparaison projet d’accord / repères Santé Travail</w:t>
      </w:r>
    </w:p>
    <w:p w14:paraId="2C855405" w14:textId="77777777" w:rsidR="0033598E" w:rsidRDefault="0033598E" w:rsidP="0033598E">
      <w:pPr>
        <w:spacing w:after="0" w:line="240" w:lineRule="auto"/>
        <w:jc w:val="both"/>
      </w:pPr>
    </w:p>
    <w:p w14:paraId="11F4FEDD" w14:textId="77777777" w:rsidR="00916F0E" w:rsidRDefault="0033598E" w:rsidP="0033598E">
      <w:pPr>
        <w:spacing w:after="0" w:line="240" w:lineRule="auto"/>
        <w:jc w:val="both"/>
      </w:pPr>
      <w:r>
        <w:t xml:space="preserve">Les </w:t>
      </w:r>
      <w:hyperlink r:id="rId9" w:history="1">
        <w:r w:rsidRPr="002C31D4">
          <w:rPr>
            <w:rStyle w:val="Lienhypertexte"/>
          </w:rPr>
          <w:t>repères</w:t>
        </w:r>
        <w:r w:rsidR="002C31D4">
          <w:rPr>
            <w:rStyle w:val="Lienhypertexte"/>
          </w:rPr>
          <w:t xml:space="preserve"> revendicatifs</w:t>
        </w:r>
        <w:r w:rsidRPr="002C31D4">
          <w:rPr>
            <w:rStyle w:val="Lienhypertexte"/>
          </w:rPr>
          <w:t xml:space="preserve"> Santé / conditions de travail </w:t>
        </w:r>
        <w:r w:rsidR="002C31D4" w:rsidRPr="002C31D4">
          <w:rPr>
            <w:rStyle w:val="Lienhypertexte"/>
          </w:rPr>
          <w:t xml:space="preserve">de la CGT </w:t>
        </w:r>
        <w:proofErr w:type="spellStart"/>
        <w:r w:rsidR="002C31D4" w:rsidRPr="002C31D4">
          <w:rPr>
            <w:rStyle w:val="Lienhypertexte"/>
          </w:rPr>
          <w:t>Educ’action</w:t>
        </w:r>
        <w:proofErr w:type="spellEnd"/>
      </w:hyperlink>
      <w:r w:rsidR="002C31D4">
        <w:t xml:space="preserve"> </w:t>
      </w:r>
      <w:r>
        <w:t>adoptés en 2022 fixent nos revendications en matière de télétravail</w:t>
      </w:r>
      <w:r w:rsidR="0011630D">
        <w:t xml:space="preserve"> (fiche 4)</w:t>
      </w:r>
      <w:r>
        <w:t xml:space="preserve">.  </w:t>
      </w:r>
    </w:p>
    <w:p w14:paraId="7EE21CDA" w14:textId="77777777" w:rsidR="00916F0E" w:rsidRDefault="00916F0E" w:rsidP="0033598E">
      <w:pPr>
        <w:spacing w:after="0" w:line="240" w:lineRule="auto"/>
        <w:jc w:val="both"/>
      </w:pPr>
    </w:p>
    <w:p w14:paraId="4379DCB8" w14:textId="77777777" w:rsidR="003911D6" w:rsidRDefault="003911D6" w:rsidP="0033598E">
      <w:pPr>
        <w:spacing w:after="0" w:line="240" w:lineRule="auto"/>
        <w:jc w:val="both"/>
      </w:pPr>
      <w:r>
        <w:lastRenderedPageBreak/>
        <w:t xml:space="preserve">Dans l’ensemble, le projet d’accord Télétravail répond à l’essentiel d’entre elles : </w:t>
      </w:r>
    </w:p>
    <w:p w14:paraId="35154CB2" w14:textId="77777777" w:rsidR="003911D6" w:rsidRDefault="003911D6" w:rsidP="003911D6">
      <w:pPr>
        <w:pStyle w:val="Paragraphedeliste"/>
        <w:numPr>
          <w:ilvl w:val="0"/>
          <w:numId w:val="3"/>
        </w:numPr>
        <w:spacing w:after="0" w:line="240" w:lineRule="auto"/>
        <w:jc w:val="both"/>
      </w:pPr>
      <w:r>
        <w:t>Volontariat (article 2)</w:t>
      </w:r>
    </w:p>
    <w:p w14:paraId="0D2C17F1" w14:textId="77777777" w:rsidR="003911D6" w:rsidRDefault="003911D6" w:rsidP="003911D6">
      <w:pPr>
        <w:pStyle w:val="Paragraphedeliste"/>
        <w:numPr>
          <w:ilvl w:val="0"/>
          <w:numId w:val="3"/>
        </w:numPr>
        <w:spacing w:after="0" w:line="240" w:lineRule="auto"/>
        <w:jc w:val="both"/>
      </w:pPr>
      <w:r>
        <w:t>Réversibilité (article 2)</w:t>
      </w:r>
    </w:p>
    <w:p w14:paraId="6F9F32C4" w14:textId="77777777" w:rsidR="007775CF" w:rsidRDefault="007775CF" w:rsidP="003911D6">
      <w:pPr>
        <w:pStyle w:val="Paragraphedeliste"/>
        <w:numPr>
          <w:ilvl w:val="0"/>
          <w:numId w:val="3"/>
        </w:numPr>
        <w:spacing w:after="0" w:line="240" w:lineRule="auto"/>
        <w:jc w:val="both"/>
      </w:pPr>
      <w:r>
        <w:t>Attention au collectif de travail (article 15)</w:t>
      </w:r>
    </w:p>
    <w:p w14:paraId="496B8E93" w14:textId="77777777" w:rsidR="003911D6" w:rsidRDefault="003911D6" w:rsidP="003911D6">
      <w:pPr>
        <w:pStyle w:val="Paragraphedeliste"/>
        <w:numPr>
          <w:ilvl w:val="0"/>
          <w:numId w:val="3"/>
        </w:numPr>
        <w:spacing w:after="0" w:line="240" w:lineRule="auto"/>
        <w:jc w:val="both"/>
      </w:pPr>
      <w:r>
        <w:t>Egalité d’accès (article 5)</w:t>
      </w:r>
    </w:p>
    <w:p w14:paraId="3E498388" w14:textId="77777777" w:rsidR="003911D6" w:rsidRDefault="003911D6" w:rsidP="003911D6">
      <w:pPr>
        <w:pStyle w:val="Paragraphedeliste"/>
        <w:numPr>
          <w:ilvl w:val="0"/>
          <w:numId w:val="3"/>
        </w:numPr>
        <w:spacing w:after="0" w:line="240" w:lineRule="auto"/>
        <w:jc w:val="both"/>
      </w:pPr>
      <w:r>
        <w:t>Droits renforcés pour les situations de handicap ou médicales particulières (hors arrêt maladie) (article 17)</w:t>
      </w:r>
    </w:p>
    <w:p w14:paraId="2547C1FD" w14:textId="77777777" w:rsidR="003911D6" w:rsidRDefault="003911D6" w:rsidP="003911D6">
      <w:pPr>
        <w:pStyle w:val="Paragraphedeliste"/>
        <w:numPr>
          <w:ilvl w:val="0"/>
          <w:numId w:val="3"/>
        </w:numPr>
        <w:spacing w:after="0" w:line="240" w:lineRule="auto"/>
        <w:jc w:val="both"/>
      </w:pPr>
      <w:r>
        <w:t>Exercice partiel : quotité maximale de 3 jours semaine (article 6)</w:t>
      </w:r>
    </w:p>
    <w:p w14:paraId="4CE9C89F" w14:textId="77777777" w:rsidR="003911D6" w:rsidRDefault="003911D6" w:rsidP="003911D6">
      <w:pPr>
        <w:pStyle w:val="Paragraphedeliste"/>
        <w:numPr>
          <w:ilvl w:val="0"/>
          <w:numId w:val="3"/>
        </w:numPr>
        <w:spacing w:after="0" w:line="240" w:lineRule="auto"/>
        <w:jc w:val="both"/>
      </w:pPr>
      <w:r>
        <w:t>Autonomie d’organisation et refus de nouvelles formes de contrôle de l’activité : les article 13 et 14 y répondent en partie</w:t>
      </w:r>
    </w:p>
    <w:p w14:paraId="3FC26111" w14:textId="77777777" w:rsidR="003911D6" w:rsidRDefault="003911D6" w:rsidP="003911D6">
      <w:pPr>
        <w:pStyle w:val="Paragraphedeliste"/>
        <w:numPr>
          <w:ilvl w:val="0"/>
          <w:numId w:val="3"/>
        </w:numPr>
        <w:spacing w:after="0" w:line="240" w:lineRule="auto"/>
        <w:jc w:val="both"/>
      </w:pPr>
      <w:r>
        <w:t>Temps de travail équivalent en télétravail et en présentiel (</w:t>
      </w:r>
      <w:r w:rsidR="007775CF">
        <w:t>article 2)</w:t>
      </w:r>
    </w:p>
    <w:p w14:paraId="1F1292D5" w14:textId="77777777" w:rsidR="007775CF" w:rsidRDefault="007775CF" w:rsidP="003911D6">
      <w:pPr>
        <w:pStyle w:val="Paragraphedeliste"/>
        <w:numPr>
          <w:ilvl w:val="0"/>
          <w:numId w:val="3"/>
        </w:numPr>
        <w:spacing w:after="0" w:line="240" w:lineRule="auto"/>
        <w:jc w:val="both"/>
      </w:pPr>
      <w:r>
        <w:t>Possibilité d’exercer en jours flottants (article 6)</w:t>
      </w:r>
    </w:p>
    <w:p w14:paraId="2697BE10" w14:textId="77777777" w:rsidR="007775CF" w:rsidRDefault="007775CF" w:rsidP="003911D6">
      <w:pPr>
        <w:pStyle w:val="Paragraphedeliste"/>
        <w:numPr>
          <w:ilvl w:val="0"/>
          <w:numId w:val="3"/>
        </w:numPr>
        <w:spacing w:after="0" w:line="240" w:lineRule="auto"/>
        <w:jc w:val="both"/>
      </w:pPr>
      <w:r>
        <w:t>Equipement matériel pris en charge par l’administration (article 8)</w:t>
      </w:r>
    </w:p>
    <w:p w14:paraId="266326A2" w14:textId="77777777" w:rsidR="007775CF" w:rsidRDefault="007775CF" w:rsidP="003911D6">
      <w:pPr>
        <w:pStyle w:val="Paragraphedeliste"/>
        <w:numPr>
          <w:ilvl w:val="0"/>
          <w:numId w:val="3"/>
        </w:numPr>
        <w:spacing w:after="0" w:line="240" w:lineRule="auto"/>
        <w:jc w:val="both"/>
      </w:pPr>
      <w:r>
        <w:t>Droit effectif à la déconnexion (article 2)</w:t>
      </w:r>
    </w:p>
    <w:p w14:paraId="44CDDEE1" w14:textId="77777777" w:rsidR="007775CF" w:rsidRDefault="007775CF" w:rsidP="003911D6">
      <w:pPr>
        <w:pStyle w:val="Paragraphedeliste"/>
        <w:numPr>
          <w:ilvl w:val="0"/>
          <w:numId w:val="3"/>
        </w:numPr>
        <w:spacing w:after="0" w:line="240" w:lineRule="auto"/>
        <w:jc w:val="both"/>
      </w:pPr>
      <w:r>
        <w:t>Formation spécifique au télétravail pour les agents et les encadrants (article 14)</w:t>
      </w:r>
    </w:p>
    <w:p w14:paraId="28EC4943" w14:textId="77777777" w:rsidR="007775CF" w:rsidRDefault="007775CF" w:rsidP="003911D6">
      <w:pPr>
        <w:pStyle w:val="Paragraphedeliste"/>
        <w:numPr>
          <w:ilvl w:val="0"/>
          <w:numId w:val="3"/>
        </w:numPr>
        <w:spacing w:after="0" w:line="240" w:lineRule="auto"/>
        <w:jc w:val="both"/>
      </w:pPr>
      <w:r>
        <w:t>Bilan annuel (article 22) : pas de mention de la déclinaison genrée du bilan mais tous les bilans doivent aujourd’hui être genré et la dimension égalité femme / homme est pleinement intégrée dès l’article 2</w:t>
      </w:r>
    </w:p>
    <w:p w14:paraId="0BC35BEC" w14:textId="77777777" w:rsidR="009067F1" w:rsidRDefault="009067F1" w:rsidP="003911D6">
      <w:pPr>
        <w:pStyle w:val="Paragraphedeliste"/>
        <w:numPr>
          <w:ilvl w:val="0"/>
          <w:numId w:val="3"/>
        </w:numPr>
        <w:spacing w:after="0" w:line="240" w:lineRule="auto"/>
        <w:jc w:val="both"/>
      </w:pPr>
      <w:r>
        <w:t>Prévention cyber harcèlement et violences familiales (article 18)</w:t>
      </w:r>
    </w:p>
    <w:p w14:paraId="60AA1246" w14:textId="77777777" w:rsidR="0033598E" w:rsidRDefault="0033598E" w:rsidP="001B640B">
      <w:pPr>
        <w:spacing w:after="0" w:line="240" w:lineRule="auto"/>
        <w:jc w:val="both"/>
        <w:rPr>
          <w:rFonts w:eastAsia="Times New Roman" w:cstheme="minorHAnsi"/>
          <w:lang w:eastAsia="fr-FR"/>
        </w:rPr>
      </w:pPr>
    </w:p>
    <w:p w14:paraId="778BE157" w14:textId="77777777" w:rsidR="0033598E" w:rsidRPr="002C31D4" w:rsidRDefault="007775CF" w:rsidP="007775CF">
      <w:pPr>
        <w:shd w:val="clear" w:color="auto" w:fill="BFBFBF" w:themeFill="background1" w:themeFillShade="BF"/>
        <w:spacing w:after="0" w:line="240" w:lineRule="auto"/>
        <w:jc w:val="both"/>
        <w:rPr>
          <w:rFonts w:eastAsia="Times New Roman" w:cstheme="minorHAnsi"/>
          <w:b/>
          <w:lang w:eastAsia="fr-FR"/>
        </w:rPr>
      </w:pPr>
      <w:r w:rsidRPr="002C31D4">
        <w:rPr>
          <w:rFonts w:eastAsia="Times New Roman" w:cstheme="minorHAnsi"/>
          <w:b/>
          <w:lang w:eastAsia="fr-FR"/>
        </w:rPr>
        <w:t xml:space="preserve">Le fait que l’essentiel de nos repères revendicatifs trouvent une traduction dans ce projet d’accord nous permet d’envisager une signature de ce texte. </w:t>
      </w:r>
    </w:p>
    <w:sectPr w:rsidR="0033598E" w:rsidRPr="002C31D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BF33" w14:textId="77777777" w:rsidR="009200A5" w:rsidRDefault="009200A5" w:rsidP="00CC504A">
      <w:pPr>
        <w:spacing w:after="0" w:line="240" w:lineRule="auto"/>
      </w:pPr>
      <w:r>
        <w:separator/>
      </w:r>
    </w:p>
  </w:endnote>
  <w:endnote w:type="continuationSeparator" w:id="0">
    <w:p w14:paraId="25CC989D" w14:textId="77777777" w:rsidR="009200A5" w:rsidRDefault="009200A5" w:rsidP="00CC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8C3F" w14:textId="7232F949" w:rsidR="00CC504A" w:rsidRDefault="00CC504A">
    <w:pPr>
      <w:pStyle w:val="Pieddepage"/>
    </w:pPr>
    <w:r>
      <w:t>__________________________________________________________________________________</w:t>
    </w:r>
  </w:p>
  <w:p w14:paraId="659334B0" w14:textId="1C9BA0C4" w:rsidR="00CC504A" w:rsidRDefault="00CC504A">
    <w:pPr>
      <w:pStyle w:val="Pieddepage"/>
    </w:pPr>
    <w:r>
      <w:t>CNU n°1813 – Accord télétravail…</w:t>
    </w:r>
    <w:r>
      <w:tab/>
    </w:r>
    <w:r>
      <w:tab/>
      <w:t>Jeudi 8 juin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E52F" w14:textId="77777777" w:rsidR="009200A5" w:rsidRDefault="009200A5" w:rsidP="00CC504A">
      <w:pPr>
        <w:spacing w:after="0" w:line="240" w:lineRule="auto"/>
      </w:pPr>
      <w:r>
        <w:separator/>
      </w:r>
    </w:p>
  </w:footnote>
  <w:footnote w:type="continuationSeparator" w:id="0">
    <w:p w14:paraId="71FE8C4D" w14:textId="77777777" w:rsidR="009200A5" w:rsidRDefault="009200A5" w:rsidP="00CC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8B"/>
    <w:multiLevelType w:val="hybridMultilevel"/>
    <w:tmpl w:val="FA448D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040A7"/>
    <w:multiLevelType w:val="hybridMultilevel"/>
    <w:tmpl w:val="0ED41F72"/>
    <w:lvl w:ilvl="0" w:tplc="C17649F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53B1A"/>
    <w:multiLevelType w:val="hybridMultilevel"/>
    <w:tmpl w:val="3BFA6CD6"/>
    <w:lvl w:ilvl="0" w:tplc="C17649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5B6843"/>
    <w:multiLevelType w:val="hybridMultilevel"/>
    <w:tmpl w:val="34D66E08"/>
    <w:lvl w:ilvl="0" w:tplc="C17649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F07B64"/>
    <w:multiLevelType w:val="hybridMultilevel"/>
    <w:tmpl w:val="F6E69BA6"/>
    <w:lvl w:ilvl="0" w:tplc="C17649FA">
      <w:start w:val="1"/>
      <w:numFmt w:val="bullet"/>
      <w:lvlText w:val="-"/>
      <w:lvlJc w:val="left"/>
      <w:pPr>
        <w:ind w:left="1776" w:hanging="360"/>
      </w:pPr>
      <w:rPr>
        <w:rFonts w:ascii="Calibri" w:hAnsi="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642075C2"/>
    <w:multiLevelType w:val="multilevel"/>
    <w:tmpl w:val="DE2E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15C97"/>
    <w:multiLevelType w:val="hybridMultilevel"/>
    <w:tmpl w:val="62CED390"/>
    <w:lvl w:ilvl="0" w:tplc="C7C2E6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8820151">
    <w:abstractNumId w:val="0"/>
  </w:num>
  <w:num w:numId="2" w16cid:durableId="1576552296">
    <w:abstractNumId w:val="6"/>
  </w:num>
  <w:num w:numId="3" w16cid:durableId="1079600971">
    <w:abstractNumId w:val="1"/>
  </w:num>
  <w:num w:numId="4" w16cid:durableId="2095010437">
    <w:abstractNumId w:val="5"/>
  </w:num>
  <w:num w:numId="5" w16cid:durableId="1455441249">
    <w:abstractNumId w:val="3"/>
  </w:num>
  <w:num w:numId="6" w16cid:durableId="1380089362">
    <w:abstractNumId w:val="2"/>
  </w:num>
  <w:num w:numId="7" w16cid:durableId="280846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70"/>
    <w:rsid w:val="00027B70"/>
    <w:rsid w:val="000C7A90"/>
    <w:rsid w:val="0011630D"/>
    <w:rsid w:val="001B640B"/>
    <w:rsid w:val="002C31D4"/>
    <w:rsid w:val="0033598E"/>
    <w:rsid w:val="003911D6"/>
    <w:rsid w:val="0045087D"/>
    <w:rsid w:val="006530E2"/>
    <w:rsid w:val="00743777"/>
    <w:rsid w:val="007775CF"/>
    <w:rsid w:val="009067F1"/>
    <w:rsid w:val="00916F0E"/>
    <w:rsid w:val="009200A5"/>
    <w:rsid w:val="00BB1CD0"/>
    <w:rsid w:val="00CC504A"/>
    <w:rsid w:val="00CE7903"/>
    <w:rsid w:val="00D81288"/>
    <w:rsid w:val="00E03980"/>
    <w:rsid w:val="00E84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C704"/>
  <w15:chartTrackingRefBased/>
  <w15:docId w15:val="{0B7BB20A-8538-45A0-A5DF-CB883BAD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0E2"/>
    <w:pPr>
      <w:ind w:left="720"/>
      <w:contextualSpacing/>
    </w:pPr>
  </w:style>
  <w:style w:type="character" w:customStyle="1" w:styleId="CorpsdetexteCar">
    <w:name w:val="Corps de texte Car"/>
    <w:basedOn w:val="Policepardfaut"/>
    <w:link w:val="Corpsdetexte"/>
    <w:uiPriority w:val="1"/>
    <w:qFormat/>
    <w:rsid w:val="006530E2"/>
    <w:rPr>
      <w:sz w:val="20"/>
    </w:rPr>
  </w:style>
  <w:style w:type="paragraph" w:styleId="Corpsdetexte">
    <w:name w:val="Body Text"/>
    <w:basedOn w:val="Normal"/>
    <w:link w:val="CorpsdetexteCar"/>
    <w:uiPriority w:val="1"/>
    <w:qFormat/>
    <w:rsid w:val="006530E2"/>
    <w:pPr>
      <w:widowControl w:val="0"/>
      <w:suppressAutoHyphens/>
      <w:spacing w:after="0" w:line="276" w:lineRule="auto"/>
    </w:pPr>
    <w:rPr>
      <w:sz w:val="20"/>
    </w:rPr>
  </w:style>
  <w:style w:type="character" w:customStyle="1" w:styleId="CorpsdetexteCar1">
    <w:name w:val="Corps de texte Car1"/>
    <w:basedOn w:val="Policepardfaut"/>
    <w:uiPriority w:val="99"/>
    <w:semiHidden/>
    <w:rsid w:val="006530E2"/>
  </w:style>
  <w:style w:type="character" w:customStyle="1" w:styleId="il">
    <w:name w:val="il"/>
    <w:basedOn w:val="Policepardfaut"/>
    <w:rsid w:val="00E84A09"/>
  </w:style>
  <w:style w:type="character" w:styleId="Lienhypertexte">
    <w:name w:val="Hyperlink"/>
    <w:basedOn w:val="Policepardfaut"/>
    <w:uiPriority w:val="99"/>
    <w:unhideWhenUsed/>
    <w:rsid w:val="00E84A09"/>
    <w:rPr>
      <w:color w:val="0000FF"/>
      <w:u w:val="single"/>
    </w:rPr>
  </w:style>
  <w:style w:type="paragraph" w:styleId="En-tte">
    <w:name w:val="header"/>
    <w:basedOn w:val="Normal"/>
    <w:link w:val="En-tteCar"/>
    <w:uiPriority w:val="99"/>
    <w:unhideWhenUsed/>
    <w:rsid w:val="00CC504A"/>
    <w:pPr>
      <w:tabs>
        <w:tab w:val="center" w:pos="4513"/>
        <w:tab w:val="right" w:pos="9026"/>
      </w:tabs>
      <w:spacing w:after="0" w:line="240" w:lineRule="auto"/>
    </w:pPr>
  </w:style>
  <w:style w:type="character" w:customStyle="1" w:styleId="En-tteCar">
    <w:name w:val="En-tête Car"/>
    <w:basedOn w:val="Policepardfaut"/>
    <w:link w:val="En-tte"/>
    <w:uiPriority w:val="99"/>
    <w:rsid w:val="00CC504A"/>
  </w:style>
  <w:style w:type="paragraph" w:styleId="Pieddepage">
    <w:name w:val="footer"/>
    <w:basedOn w:val="Normal"/>
    <w:link w:val="PieddepageCar"/>
    <w:uiPriority w:val="99"/>
    <w:unhideWhenUsed/>
    <w:rsid w:val="00CC504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C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4073">
      <w:bodyDiv w:val="1"/>
      <w:marLeft w:val="0"/>
      <w:marRight w:val="0"/>
      <w:marTop w:val="0"/>
      <w:marBottom w:val="0"/>
      <w:divBdr>
        <w:top w:val="none" w:sz="0" w:space="0" w:color="auto"/>
        <w:left w:val="none" w:sz="0" w:space="0" w:color="auto"/>
        <w:bottom w:val="none" w:sz="0" w:space="0" w:color="auto"/>
        <w:right w:val="none" w:sz="0" w:space="0" w:color="auto"/>
      </w:divBdr>
      <w:divsChild>
        <w:div w:id="1371346434">
          <w:marLeft w:val="0"/>
          <w:marRight w:val="0"/>
          <w:marTop w:val="0"/>
          <w:marBottom w:val="0"/>
          <w:divBdr>
            <w:top w:val="none" w:sz="0" w:space="0" w:color="auto"/>
            <w:left w:val="none" w:sz="0" w:space="0" w:color="auto"/>
            <w:bottom w:val="none" w:sz="0" w:space="0" w:color="auto"/>
            <w:right w:val="none" w:sz="0" w:space="0" w:color="auto"/>
          </w:divBdr>
        </w:div>
        <w:div w:id="1659114742">
          <w:marLeft w:val="0"/>
          <w:marRight w:val="0"/>
          <w:marTop w:val="0"/>
          <w:marBottom w:val="0"/>
          <w:divBdr>
            <w:top w:val="none" w:sz="0" w:space="0" w:color="auto"/>
            <w:left w:val="none" w:sz="0" w:space="0" w:color="auto"/>
            <w:bottom w:val="none" w:sz="0" w:space="0" w:color="auto"/>
            <w:right w:val="none" w:sz="0" w:space="0" w:color="auto"/>
          </w:divBdr>
        </w:div>
        <w:div w:id="762799484">
          <w:marLeft w:val="0"/>
          <w:marRight w:val="0"/>
          <w:marTop w:val="0"/>
          <w:marBottom w:val="0"/>
          <w:divBdr>
            <w:top w:val="none" w:sz="0" w:space="0" w:color="auto"/>
            <w:left w:val="none" w:sz="0" w:space="0" w:color="auto"/>
            <w:bottom w:val="none" w:sz="0" w:space="0" w:color="auto"/>
            <w:right w:val="none" w:sz="0" w:space="0" w:color="auto"/>
          </w:divBdr>
        </w:div>
        <w:div w:id="2102992552">
          <w:marLeft w:val="0"/>
          <w:marRight w:val="0"/>
          <w:marTop w:val="0"/>
          <w:marBottom w:val="0"/>
          <w:divBdr>
            <w:top w:val="none" w:sz="0" w:space="0" w:color="auto"/>
            <w:left w:val="none" w:sz="0" w:space="0" w:color="auto"/>
            <w:bottom w:val="none" w:sz="0" w:space="0" w:color="auto"/>
            <w:right w:val="none" w:sz="0" w:space="0" w:color="auto"/>
          </w:divBdr>
        </w:div>
        <w:div w:id="751392435">
          <w:marLeft w:val="0"/>
          <w:marRight w:val="0"/>
          <w:marTop w:val="0"/>
          <w:marBottom w:val="0"/>
          <w:divBdr>
            <w:top w:val="none" w:sz="0" w:space="0" w:color="auto"/>
            <w:left w:val="none" w:sz="0" w:space="0" w:color="auto"/>
            <w:bottom w:val="none" w:sz="0" w:space="0" w:color="auto"/>
            <w:right w:val="none" w:sz="0" w:space="0" w:color="auto"/>
          </w:divBdr>
        </w:div>
        <w:div w:id="852301886">
          <w:marLeft w:val="0"/>
          <w:marRight w:val="0"/>
          <w:marTop w:val="0"/>
          <w:marBottom w:val="0"/>
          <w:divBdr>
            <w:top w:val="none" w:sz="0" w:space="0" w:color="auto"/>
            <w:left w:val="none" w:sz="0" w:space="0" w:color="auto"/>
            <w:bottom w:val="none" w:sz="0" w:space="0" w:color="auto"/>
            <w:right w:val="none" w:sz="0" w:space="0" w:color="auto"/>
          </w:divBdr>
        </w:div>
        <w:div w:id="317807578">
          <w:marLeft w:val="0"/>
          <w:marRight w:val="0"/>
          <w:marTop w:val="0"/>
          <w:marBottom w:val="0"/>
          <w:divBdr>
            <w:top w:val="none" w:sz="0" w:space="0" w:color="auto"/>
            <w:left w:val="none" w:sz="0" w:space="0" w:color="auto"/>
            <w:bottom w:val="none" w:sz="0" w:space="0" w:color="auto"/>
            <w:right w:val="none" w:sz="0" w:space="0" w:color="auto"/>
          </w:divBdr>
        </w:div>
        <w:div w:id="1517698037">
          <w:marLeft w:val="0"/>
          <w:marRight w:val="0"/>
          <w:marTop w:val="0"/>
          <w:marBottom w:val="0"/>
          <w:divBdr>
            <w:top w:val="none" w:sz="0" w:space="0" w:color="auto"/>
            <w:left w:val="none" w:sz="0" w:space="0" w:color="auto"/>
            <w:bottom w:val="none" w:sz="0" w:space="0" w:color="auto"/>
            <w:right w:val="none" w:sz="0" w:space="0" w:color="auto"/>
          </w:divBdr>
        </w:div>
        <w:div w:id="948510079">
          <w:marLeft w:val="0"/>
          <w:marRight w:val="0"/>
          <w:marTop w:val="0"/>
          <w:marBottom w:val="0"/>
          <w:divBdr>
            <w:top w:val="none" w:sz="0" w:space="0" w:color="auto"/>
            <w:left w:val="none" w:sz="0" w:space="0" w:color="auto"/>
            <w:bottom w:val="none" w:sz="0" w:space="0" w:color="auto"/>
            <w:right w:val="none" w:sz="0" w:space="0" w:color="auto"/>
          </w:divBdr>
        </w:div>
        <w:div w:id="38649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203698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gteduc.fr/wp-content/uploads/2022/10/6-repe%CC%80res-sante%CC%81-travai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1215</Words>
  <Characters>6687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AEBISCHER</dc:creator>
  <cp:keywords/>
  <dc:description/>
  <cp:lastModifiedBy>Michèle Schiavi</cp:lastModifiedBy>
  <cp:revision>7</cp:revision>
  <dcterms:created xsi:type="dcterms:W3CDTF">2023-03-20T14:05:00Z</dcterms:created>
  <dcterms:modified xsi:type="dcterms:W3CDTF">2023-06-08T09:16:00Z</dcterms:modified>
</cp:coreProperties>
</file>